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62300" cy="71755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dt>
      <w:sdtPr>
        <w:rPr>
          <w:b/>
          <w:sz w:val="64"/>
          <w:szCs w:val="64"/>
          <w:lang w:val="en-US"/>
        </w:rPr>
        <w:alias w:val="Document Title"/>
        <w:tag w:val="Cover_Document_Title"/>
        <w:id w:val="37766366"/>
        <w:lock w:val="sdtLocked"/>
      </w:sdtPr>
      <w:sdtEndPr>
        <w:rPr>
          <w:b/>
          <w:color w:val="0000FF"/>
          <w:sz w:val="56"/>
          <w:szCs w:val="56"/>
          <w:lang w:val="en-US"/>
        </w:rPr>
      </w:sdtEndPr>
      <w:sdtContent>
        <w:sdt>
          <w:sdtPr>
            <w:rPr>
              <w:rFonts w:hint="eastAsia"/>
              <w:b/>
              <w:sz w:val="64"/>
              <w:szCs w:val="64"/>
              <w:lang w:val="en-US"/>
            </w:rPr>
            <w:alias w:val="标题"/>
            <w:tag w:val="标题"/>
            <w:id w:val="382771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Fonts w:hint="eastAsia"/>
              <w:b/>
              <w:color w:val="0000FF"/>
              <w:sz w:val="56"/>
              <w:szCs w:val="56"/>
              <w:lang w:val="en-US"/>
            </w:rPr>
          </w:sdtEndPr>
          <w:sdtContent>
            <w:p>
              <w:pPr>
                <w:rPr>
                  <w:b/>
                  <w:color w:val="0000FF"/>
                  <w:sz w:val="56"/>
                  <w:szCs w:val="56"/>
                  <w:lang w:val="en-US"/>
                </w:rPr>
              </w:pP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NX-1200D-C3数字对讲机</w:t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br w:type="textWrapping"/>
              </w:r>
              <w:r>
                <w:rPr>
                  <w:rFonts w:hint="eastAsia"/>
                  <w:b/>
                  <w:sz w:val="64"/>
                  <w:szCs w:val="64"/>
                  <w:lang w:val="en-US" w:eastAsia="zh-CN"/>
                </w:rPr>
                <w:t>产品规格书</w:t>
              </w:r>
            </w:p>
          </w:sdtContent>
        </w:sdt>
      </w:sdtContent>
    </w:sdt>
    <w:sdt>
      <w:sdtPr>
        <w:rPr>
          <w:rFonts w:hint="eastAsia"/>
          <w:b/>
          <w:sz w:val="40"/>
          <w:szCs w:val="40"/>
          <w:lang w:eastAsia="zh-CN"/>
        </w:rPr>
        <w:alias w:val="Project Name"/>
        <w:tag w:val="Cover_Project_Name"/>
        <w:id w:val="37766369"/>
        <w:lock w:val="sdtLocked"/>
      </w:sdtPr>
      <w:sdtEndPr>
        <w:rPr>
          <w:rFonts w:hint="eastAsia"/>
          <w:b/>
          <w:sz w:val="64"/>
          <w:szCs w:val="64"/>
          <w:lang w:eastAsia="zh-CN"/>
        </w:rPr>
      </w:sdtEndPr>
      <w:sdtContent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spacing w:beforeLines="100"/>
            <w:outlineLvl w:val="9"/>
            <w:rPr>
              <w:rFonts w:hint="eastAsia"/>
              <w:b/>
              <w:sz w:val="40"/>
              <w:szCs w:val="40"/>
              <w:lang w:eastAsia="zh-CN"/>
            </w:rPr>
          </w:pPr>
        </w:p>
        <w:p>
          <w:pPr>
            <w:rPr>
              <w:rFonts w:hint="eastAsia"/>
              <w:b/>
              <w:sz w:val="64"/>
              <w:szCs w:val="64"/>
              <w:lang w:eastAsia="zh-CN"/>
            </w:rPr>
          </w:pPr>
          <w:r>
            <w:rPr>
              <w:rFonts w:hint="eastAsia"/>
              <w:b/>
              <w:sz w:val="40"/>
              <w:szCs w:val="40"/>
              <w:lang w:val="en-US" w:eastAsia="zh-CN"/>
            </w:rPr>
            <w:t>建伍</w:t>
          </w:r>
          <w:r>
            <w:rPr>
              <w:rFonts w:hint="eastAsia"/>
              <w:b/>
              <w:sz w:val="40"/>
              <w:szCs w:val="40"/>
              <w:lang w:eastAsia="zh-CN"/>
            </w:rPr>
            <w:t>终端产品线</w:t>
          </w:r>
        </w:p>
      </w:sdtContent>
    </w:sdt>
    <w:sdt>
      <w:sdtPr>
        <w:rPr>
          <w:b/>
          <w:sz w:val="40"/>
          <w:szCs w:val="40"/>
        </w:rPr>
        <w:alias w:val="标题"/>
        <w:id w:val="38277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b/>
          <w:sz w:val="40"/>
          <w:szCs w:val="40"/>
        </w:rPr>
      </w:sdtEndPr>
      <w:sdtContent>
        <w:p>
          <w:pPr>
            <w:rPr>
              <w:rFonts w:hint="eastAsia"/>
              <w:b/>
              <w:sz w:val="40"/>
              <w:szCs w:val="40"/>
            </w:rPr>
          </w:pPr>
          <w:r>
            <w:rPr>
              <w:rFonts w:hint="eastAsia"/>
              <w:b/>
              <w:sz w:val="40"/>
              <w:szCs w:val="40"/>
              <w:lang w:eastAsia="zh-CN"/>
            </w:rPr>
            <w:t>NX-1200D-C3数字对讲机产品规格书</w:t>
          </w:r>
        </w:p>
      </w:sdtContent>
    </w:sdt>
    <w:p>
      <w:pPr>
        <w:rPr>
          <w:rFonts w:hint="eastAsia"/>
          <w:b/>
          <w:sz w:val="40"/>
          <w:szCs w:val="40"/>
          <w:lang w:val="en-US" w:eastAsia="zh-CN"/>
        </w:rPr>
      </w:pPr>
    </w:p>
    <w:tbl>
      <w:tblPr>
        <w:tblStyle w:val="8"/>
        <w:tblW w:w="91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93"/>
        <w:gridCol w:w="1193"/>
        <w:gridCol w:w="1834"/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版本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作者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审核者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V1.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kenwus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widowControl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基线文档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right"/>
        </w:trPr>
        <w:tc>
          <w:tcPr>
            <w:tcW w:w="1092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65" w:type="dxa"/>
            <w:vAlign w:val="center"/>
          </w:tcPr>
          <w:p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版权所有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日本JVC建伍株式会社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保留所有权利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版权声明：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本文档著作权由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日本JVC建伍株式会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享有。</w:t>
      </w:r>
    </w:p>
    <w:p>
      <w:pPr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本文档中的信息随着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KENWOOD建伍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产品和技术的进步将不断更新。由于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JVC KENWOOD集团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技术的不断发展，以上指标数据若有变更，以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KENWOOD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的新发布资料为准，恕不另行通知。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NXDN®是JVCKENWOOD公司和ICOM公司的注册商标。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NEXEDGE®是JVCKENWOOD公司注册商标。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FleetSync®是JVCKENWOOD公司的注册商标。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AMBE+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2™</w:t>
      </w:r>
      <w:r>
        <w:rPr>
          <w:rFonts w:hint="eastAsia" w:ascii="宋体" w:hAnsi="宋体" w:eastAsia="宋体" w:cs="宋体"/>
          <w:sz w:val="18"/>
          <w:szCs w:val="18"/>
        </w:rPr>
        <w:t>是Digital Voice Systems Inc公司的注册商标。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所有其他商标均为其各自持有人的财产。</w:t>
      </w:r>
    </w:p>
    <w:sdt>
      <w:sdtPr>
        <w:rPr>
          <w:rFonts w:asciiTheme="minorHAnsi" w:hAnsiTheme="minorHAnsi" w:eastAsiaTheme="minorEastAsia" w:cstheme="minorBidi"/>
          <w:b w:val="0"/>
          <w:spacing w:val="0"/>
          <w:kern w:val="2"/>
          <w:sz w:val="21"/>
          <w:szCs w:val="22"/>
        </w:rPr>
        <w:id w:val="877760"/>
      </w:sdtPr>
      <w:sdtEnd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sdtEndPr>
      <w:sdtContent>
        <w:p>
          <w:pPr>
            <w:pStyle w:val="12"/>
            <w:outlineLvl w:val="9"/>
          </w:pPr>
          <w:r>
            <w:t>目录</w:t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r>
            <w:fldChar w:fldCharType="begin"/>
          </w:r>
          <w:r>
            <w:instrText xml:space="preserve"> HYPERLINK \l _Toc26484 </w:instrText>
          </w:r>
          <w:r>
            <w:fldChar w:fldCharType="separate"/>
          </w:r>
          <w:r>
            <w:t xml:space="preserve">1 </w:t>
          </w:r>
          <w:r>
            <w:rPr>
              <w:rFonts w:hint="eastAsia"/>
              <w:lang w:eastAsia="zh-CN"/>
            </w:rPr>
            <w:t>产品外观</w:t>
          </w:r>
          <w:r>
            <w:tab/>
          </w:r>
          <w:r>
            <w:fldChar w:fldCharType="begin"/>
          </w:r>
          <w:r>
            <w:instrText xml:space="preserve"> PAGEREF _Toc26484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_Toc14348 </w:instrText>
          </w:r>
          <w:r>
            <w:fldChar w:fldCharType="separate"/>
          </w:r>
          <w:r>
            <w:rPr>
              <w:rFonts w:hint="eastAsia"/>
              <w:lang w:eastAsia="zh-CN"/>
            </w:rPr>
            <w:t>2 产品特点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_Toc9930 </w:instrText>
          </w:r>
          <w:r>
            <w:fldChar w:fldCharType="separate"/>
          </w:r>
          <w:r>
            <w:rPr>
              <w:rFonts w:hint="eastAsia"/>
              <w:lang w:eastAsia="zh-CN"/>
            </w:rPr>
            <w:t>3 产品规格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  <w:r>
            <w:fldChar w:fldCharType="end"/>
          </w:r>
        </w:p>
        <w:p>
          <w:pPr>
            <w:pStyle w:val="5"/>
            <w:tabs>
              <w:tab w:val="right" w:leader="dot" w:pos="9072"/>
              <w:tab w:val="clear" w:pos="420"/>
              <w:tab w:val="clear" w:pos="567"/>
              <w:tab w:val="clear" w:pos="8789"/>
              <w:tab w:val="clear" w:pos="9062"/>
            </w:tabs>
          </w:pPr>
          <w:r>
            <w:fldChar w:fldCharType="begin"/>
          </w:r>
          <w:r>
            <w:instrText xml:space="preserve"> HYPERLINK \l _Toc14004 </w:instrText>
          </w:r>
          <w:r>
            <w:fldChar w:fldCharType="separate"/>
          </w:r>
          <w:r>
            <w:rPr>
              <w:rFonts w:hint="eastAsia"/>
              <w:lang w:eastAsia="zh-CN"/>
            </w:rPr>
            <w:t>4 标配附件</w:t>
          </w:r>
          <w:r>
            <w:tab/>
          </w:r>
          <w:r>
            <w:rPr>
              <w:rFonts w:hint="eastAsia"/>
              <w:lang w:val="en-US" w:eastAsia="zh-CN"/>
            </w:rPr>
            <w:t>8</w:t>
          </w:r>
          <w:r>
            <w:fldChar w:fldCharType="end"/>
          </w:r>
        </w:p>
        <w:p>
          <w:pPr>
            <w:rPr>
              <w:rFonts w:ascii="Arial" w:hAnsi="Arial" w:eastAsia="宋体" w:cstheme="minorBidi"/>
              <w:b w:val="0"/>
              <w:spacing w:val="0"/>
              <w:kern w:val="0"/>
              <w:sz w:val="21"/>
              <w:szCs w:val="22"/>
            </w:rPr>
          </w:pPr>
          <w:r>
            <w:fldChar w:fldCharType="end"/>
          </w:r>
        </w:p>
      </w:sdtContent>
    </w:sdt>
    <w:p>
      <w:pPr>
        <w:rPr>
          <w:rFonts w:ascii="Arial" w:hAnsi="Arial" w:eastAsia="宋体" w:cstheme="minorBidi"/>
          <w:b w:val="0"/>
          <w:spacing w:val="0"/>
          <w:kern w:val="0"/>
          <w:sz w:val="21"/>
          <w:szCs w:val="22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rPr>
          <w:rFonts w:hint="eastAsia"/>
          <w:b/>
          <w:sz w:val="40"/>
          <w:szCs w:val="40"/>
          <w:lang w:val="en-US" w:eastAsia="zh-CN"/>
        </w:rPr>
      </w:pPr>
    </w:p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0" w:name="_Toc26484"/>
      <w:r>
        <w:rPr>
          <w:rFonts w:hint="eastAsia"/>
          <w:lang w:eastAsia="zh-CN"/>
        </w:rPr>
        <w:t>产品外观</w:t>
      </w:r>
      <w:bookmarkEnd w:id="0"/>
    </w:p>
    <w:p/>
    <w:p>
      <w:r>
        <w:rPr>
          <w:rFonts w:hint="eastAsia"/>
          <w:lang w:val="en-US" w:eastAsia="zh-CN"/>
        </w:rPr>
        <w:t xml:space="preserve">                         </w:t>
      </w:r>
      <w:r>
        <w:drawing>
          <wp:inline distT="0" distB="0" distL="114300" distR="114300">
            <wp:extent cx="1340485" cy="5483860"/>
            <wp:effectExtent l="0" t="0" r="5715" b="2540"/>
            <wp:docPr id="1" name="图片 1" descr="NX-1200D-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X-1200D-C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548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2856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621030" cy="2560955"/>
                  <wp:effectExtent l="0" t="0" r="1270" b="4445"/>
                  <wp:docPr id="17" name="图片 17" descr="NX1K_BSC_SWL_KRA26_KNB45L_LH00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NX1K_BSC_SWL_KRA26_KNB45L_LH00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256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6240" cy="1185545"/>
                  <wp:effectExtent l="0" t="0" r="10160" b="8255"/>
                  <wp:docPr id="19" name="图片 19" descr="NX1K_BSC_TP_KRA27_KNB45L_LH010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NX1K_BSC_TP_KRA27_KNB45L_LH010__L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18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75765" cy="1172210"/>
                  <wp:effectExtent l="0" t="0" r="635" b="8890"/>
                  <wp:docPr id="20" name="图片 20" descr="NX1K_BSC_BT_KRA27_KNB45L_LH00__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NX1K_BSC_BT_KRA27_KNB45L_LH00__L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765" cy="117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632460" cy="2520950"/>
                  <wp:effectExtent l="0" t="0" r="2540" b="6350"/>
                  <wp:docPr id="18" name="图片 18" descr="NX1K_BSC_SWR_KRA26_KNB45L_LH00__LB_KB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NX1K_BSC_SWR_KRA26_KNB45L_LH00__LB_KBH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252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bidi w:val="0"/>
        <w:ind w:left="0" w:leftChars="0" w:firstLine="0" w:firstLineChars="0"/>
        <w:rPr>
          <w:rFonts w:hint="eastAsia"/>
          <w:lang w:eastAsia="zh-CN"/>
        </w:rPr>
      </w:pPr>
      <w:bookmarkStart w:id="1" w:name="_Toc14348"/>
      <w:r>
        <w:rPr>
          <w:rFonts w:hint="eastAsia"/>
          <w:lang w:eastAsia="zh-CN"/>
        </w:rPr>
        <w:t>产品特点</w:t>
      </w:r>
      <w:bookmarkEnd w:id="1"/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符合DMR数字标准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本系列产品采用DMR数字协议，支持DMR Tier1和Tier2应用。采用TDMA方式，在一个12.5kHZ物理载频上可分为2个时隙，等效2个通信信道。具有良好的频谱利用效率。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双时隙直通模式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不需要基站或者中转台就可以在12.5kHz信道上支持两路通信。因而和模拟信道相比，容量相当于增加了1倍。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呼叫强拆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在紧急报警或当一个用户需要打断其他用户通话时，在直通模式和中转模式都可以使用呼叫强拆功能，发出或接收强拆指令，保证重要的通信能够及时获得信道。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数字/模拟双模式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/>
        </w:rPr>
        <w:t>具有DMR数字模式和FM模拟模式。每个信道可以根据需要选择设置数字模式或者模拟模式。如同两部对讲机，既可以和DMR数字对讲机通信，也可以和FM模拟对讲机通信。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支持DMR常规工作模式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语音业务支持组呼/全呼功能和个别选呼功能。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color w:val="FF0000"/>
          <w:szCs w:val="22"/>
        </w:rPr>
      </w:pPr>
      <w:r>
        <w:rPr>
          <w:rFonts w:hint="eastAsia" w:ascii="Arial" w:hAnsi="Arial" w:eastAsia="宋体"/>
          <w:b/>
          <w:color w:val="FF0000"/>
          <w:szCs w:val="22"/>
        </w:rPr>
        <w:t>支持混合工作模式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</w:rPr>
        <w:t>当设置了混合工作模式，接收可以自动识别DMR数字信号或FM模拟信号，实现自适应接收，并且根据接收的信号性质，自动对应发射模式。支持DMR数字对讲机和FM模拟对讲机混合使用，实现模拟到数字的平滑过渡。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丰富的扫描功能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具有双优先扫描、单优先扫描、单区域扫描、多区域扫描、普通扫描供选择使用。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自动选择空闲时隙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当使用常规DMR中转台进行转发通信时，NX-1200D-C</w:t>
      </w:r>
      <w:r>
        <w:rPr>
          <w:rFonts w:hint="eastAsia" w:ascii="Arial" w:hAnsi="Arial" w:eastAsia="宋体"/>
          <w:szCs w:val="22"/>
          <w:lang w:val="en-US" w:eastAsia="zh-CN"/>
        </w:rPr>
        <w:t>3</w:t>
      </w:r>
      <w:r>
        <w:rPr>
          <w:rFonts w:hint="eastAsia" w:ascii="Arial" w:hAnsi="Arial" w:eastAsia="宋体"/>
          <w:szCs w:val="22"/>
        </w:rPr>
        <w:t>能够自动选择空闲的时隙进行通信，等效一个2信道的简易集群。降低了通信堵塞的发生率，大幅度提高了通信成功率和系统的应用效率。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优异的语音质量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本系列产品采用AMBE+2声码器，能够准确地还原自然人声，并且适应不同的发声特点，为高质量的语音提供了坚实的基础。带有可优化数字处理器的发射/接收音频配置，包括音频均衡设置自动增益控制、消噪、麦克风类型设置。加上高达1W的音频功率输出，保证复杂环境中也能够提供清晰悦耳的语音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常规多基站联网漫游</w:t>
      </w:r>
    </w:p>
    <w:p>
      <w:pPr>
        <w:ind w:left="1260" w:leftChars="600" w:firstLine="420" w:firstLineChars="20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能够检测来自各联网基站的信标信号，比较各基站的信号强度，自动切换到信号</w:t>
      </w:r>
      <w:r>
        <w:rPr>
          <w:rFonts w:hint="eastAsia" w:ascii="Arial" w:hAnsi="Arial" w:eastAsia="宋体"/>
          <w:szCs w:val="22"/>
          <w:lang w:val="en-US" w:eastAsia="zh-CN"/>
        </w:rPr>
        <w:t>更</w:t>
      </w:r>
      <w:r>
        <w:rPr>
          <w:rFonts w:hint="eastAsia" w:ascii="Arial" w:hAnsi="Arial" w:eastAsia="宋体"/>
          <w:szCs w:val="22"/>
        </w:rPr>
        <w:t>好的基站使用，在各联网基站之间自动漫游，使用者无需手动切换基站</w:t>
      </w:r>
      <w:r>
        <w:rPr>
          <w:rFonts w:hint="eastAsia" w:ascii="Arial" w:hAnsi="Arial" w:eastAsia="宋体"/>
          <w:szCs w:val="22"/>
          <w:lang w:eastAsia="zh-CN"/>
        </w:rPr>
        <w:t>。</w:t>
      </w:r>
    </w:p>
    <w:p>
      <w:pPr>
        <w:pStyle w:val="13"/>
        <w:numPr>
          <w:ilvl w:val="0"/>
          <w:numId w:val="2"/>
        </w:numPr>
        <w:ind w:left="126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其它功能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通用功能: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3档发射功率:5W/4W/1W,可手动切换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7色LED指示灯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操作语音提示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声控发射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紧急报警</w:t>
      </w:r>
      <w:r>
        <w:rPr>
          <w:rFonts w:hint="eastAsia" w:ascii="Arial" w:hAnsi="Arial" w:eastAsia="宋体"/>
          <w:szCs w:val="22"/>
          <w:lang w:eastAsia="zh-CN"/>
        </w:rPr>
        <w:t>（</w:t>
      </w:r>
      <w:r>
        <w:rPr>
          <w:rFonts w:hint="eastAsia" w:ascii="Arial" w:hAnsi="Arial" w:eastAsia="宋体"/>
          <w:szCs w:val="22"/>
        </w:rPr>
        <w:t>可用户化定义简况)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远程遥晕/复活/遥毙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单兵作业安全提示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大音量/小音量设置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电子系列号码(ESN)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符合美国军</w:t>
      </w:r>
      <w:bookmarkStart w:id="6" w:name="_GoBack"/>
      <w:bookmarkEnd w:id="6"/>
      <w:r>
        <w:rPr>
          <w:rFonts w:hint="eastAsia" w:ascii="Arial" w:hAnsi="Arial" w:eastAsia="宋体"/>
          <w:szCs w:val="22"/>
        </w:rPr>
        <w:t>标MIL-STD-810 C/D/EJF/G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IP54/55防尘/防水等级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支持扩展GPS /北斗定位与校时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color w:val="FF0000"/>
          <w:szCs w:val="22"/>
        </w:rPr>
      </w:pPr>
      <w:r>
        <w:rPr>
          <w:rFonts w:hint="eastAsia" w:ascii="Arial" w:hAnsi="Arial" w:eastAsia="宋体"/>
          <w:color w:val="FF0000"/>
          <w:szCs w:val="22"/>
          <w:lang w:val="en-US" w:eastAsia="zh-CN"/>
        </w:rPr>
        <w:t>支持扩展500小时录音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</w:rPr>
        <w:t>FM 横拟模式: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FleetSync信令编码/解码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MDC-1200信令编码/解码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DTMF信令编码/解码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QT</w:t>
      </w:r>
      <w:r>
        <w:rPr>
          <w:rFonts w:hint="eastAsia" w:ascii="Arial" w:hAnsi="Arial" w:eastAsia="宋体"/>
          <w:szCs w:val="22"/>
          <w:lang w:val="en-US" w:eastAsia="zh-CN"/>
        </w:rPr>
        <w:t>/</w:t>
      </w:r>
      <w:r>
        <w:rPr>
          <w:rFonts w:hint="eastAsia" w:ascii="Arial" w:hAnsi="Arial" w:eastAsia="宋体"/>
          <w:szCs w:val="22"/>
        </w:rPr>
        <w:t>DQT信令编码/解码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2-</w:t>
      </w:r>
      <w:r>
        <w:rPr>
          <w:rFonts w:hint="eastAsia" w:ascii="Arial" w:hAnsi="Arial" w:eastAsia="宋体"/>
          <w:szCs w:val="22"/>
        </w:rPr>
        <w:t>Tone信令编码/解码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Compander语音压扩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  <w:lang w:val="en-US" w:eastAsia="zh-CN"/>
        </w:rPr>
        <w:t>倒频加密通信</w:t>
      </w:r>
    </w:p>
    <w:p>
      <w:pPr>
        <w:pStyle w:val="13"/>
        <w:numPr>
          <w:ilvl w:val="1"/>
          <w:numId w:val="2"/>
        </w:numPr>
        <w:ind w:left="1680" w:leftChars="0" w:hanging="420" w:firstLineChars="0"/>
        <w:jc w:val="both"/>
        <w:rPr>
          <w:rFonts w:hint="eastAsia" w:ascii="Arial" w:hAnsi="Arial" w:eastAsia="宋体"/>
          <w:b/>
          <w:szCs w:val="22"/>
        </w:rPr>
      </w:pPr>
      <w:r>
        <w:rPr>
          <w:rFonts w:hint="eastAsia" w:ascii="Arial" w:hAnsi="Arial" w:eastAsia="宋体"/>
          <w:b/>
          <w:szCs w:val="22"/>
          <w:lang w:val="en-US" w:eastAsia="zh-CN"/>
        </w:rPr>
        <w:t>DMR数字模式: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空中别名功能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远程检查/监听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延</w:t>
      </w:r>
      <w:r>
        <w:rPr>
          <w:rFonts w:hint="eastAsia" w:ascii="Arial" w:hAnsi="Arial" w:eastAsia="宋体"/>
          <w:szCs w:val="22"/>
          <w:lang w:val="en-US" w:eastAsia="zh-CN"/>
        </w:rPr>
        <w:t>迟</w:t>
      </w:r>
      <w:r>
        <w:rPr>
          <w:rFonts w:hint="eastAsia" w:ascii="Arial" w:hAnsi="Arial" w:eastAsia="宋体"/>
          <w:szCs w:val="22"/>
        </w:rPr>
        <w:t>加入</w:t>
      </w:r>
    </w:p>
    <w:p>
      <w:pPr>
        <w:numPr>
          <w:ilvl w:val="2"/>
          <w:numId w:val="3"/>
        </w:numPr>
        <w:ind w:left="2100" w:leftChars="0" w:hanging="420" w:firstLineChars="0"/>
        <w:jc w:val="left"/>
        <w:rPr>
          <w:rFonts w:hint="eastAsia" w:ascii="Arial" w:hAnsi="Arial" w:eastAsia="宋体"/>
          <w:szCs w:val="22"/>
        </w:rPr>
      </w:pPr>
      <w:r>
        <w:rPr>
          <w:rFonts w:hint="eastAsia" w:ascii="Arial" w:hAnsi="Arial" w:eastAsia="宋体"/>
          <w:szCs w:val="22"/>
        </w:rPr>
        <w:t>语音加密(ARC4)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Arial" w:hAnsi="Arial" w:eastAsia="宋体"/>
          <w:szCs w:val="22"/>
        </w:rPr>
      </w:pPr>
    </w:p>
    <w:p>
      <w:pPr>
        <w:pStyle w:val="2"/>
        <w:rPr>
          <w:rFonts w:hint="eastAsia"/>
          <w:lang w:eastAsia="zh-CN"/>
        </w:rPr>
      </w:pPr>
      <w:bookmarkStart w:id="2" w:name="_Toc9930"/>
      <w:r>
        <w:rPr>
          <w:rFonts w:hint="eastAsia"/>
          <w:lang w:eastAsia="zh-CN"/>
        </w:rPr>
        <w:t>产品规格</w:t>
      </w:r>
      <w:bookmarkEnd w:id="2"/>
    </w:p>
    <w:tbl>
      <w:tblPr>
        <w:tblStyle w:val="8"/>
        <w:tblW w:w="8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6"/>
        <w:gridCol w:w="4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136-174MHz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信道数量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64信道/4区域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信道间隔 模拟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数字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12.5kHz/25kHz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电源电压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7.5VDC±20%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电池使用时间*（5-5-90工作循环）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约14.5小时（KNB-45L电池）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约9小时（KNB-29)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主机工作温度范围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- 30～+60℃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频率稳定度(-30～+60℃，25℃基准）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±0.5ppm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天线阻抗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尺寸（宽x高x厚） 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54x123x33.5mm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54x123x33.5mm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重量本机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配KNB-45L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配KNB-29N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灵敏度数字 DMR数字 1%误码率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DMR数字 5%识码率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模拟（12db SINAD）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0.28μV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0.20μV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0.22μV/25kHz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邻道选择性 模拟12.5/25kHz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67dB/74dB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互调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杂散响应模拟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1W(内部扬声器）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发射部份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5W/4W/1W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杂散响应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-36dBm≤1GHcz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调频噪声  模拟12.5/25kHz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40dB/45dB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调频失真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调制类型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16K0F3E,14KOF2D,8K50F3E,8K30F1D,7K50F3E,7K50F2D,8K30F1E,8K30F7W,7K60FXE,7K60FXD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DMR数字协议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ETSI TS 102 361-1,-2,-3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*根据实际测量</w:t>
      </w:r>
    </w:p>
    <w:p>
      <w:pPr>
        <w:rPr>
          <w:rFonts w:hint="eastAsia"/>
        </w:rPr>
      </w:pPr>
      <w:r>
        <w:rPr>
          <w:rFonts w:hint="eastAsia"/>
        </w:rPr>
        <w:t>上述数据是典型值。</w:t>
      </w:r>
    </w:p>
    <w:p>
      <w:pPr>
        <w:rPr>
          <w:rFonts w:hint="eastAsia"/>
        </w:rPr>
      </w:pPr>
      <w:r>
        <w:rPr>
          <w:rFonts w:hint="eastAsia"/>
        </w:rPr>
        <w:t>固件和软件的升级细节和时间是不固定的，恕不预先通知。</w:t>
      </w:r>
    </w:p>
    <w:p>
      <w:pPr>
        <w:rPr>
          <w:rFonts w:hint="eastAsia"/>
        </w:rPr>
      </w:pPr>
      <w:r>
        <w:rPr>
          <w:rFonts w:hint="eastAsia"/>
        </w:rPr>
        <w:t>由于技术不断地发展，以上数据有可能变更，恕不预先通知。</w:t>
      </w:r>
    </w:p>
    <w:p/>
    <w:p/>
    <w:p/>
    <w:p>
      <w:pPr>
        <w:pStyle w:val="2"/>
        <w:rPr>
          <w:rFonts w:hint="eastAsia"/>
          <w:lang w:eastAsia="zh-CN"/>
        </w:rPr>
      </w:pPr>
      <w:bookmarkStart w:id="3" w:name="_Toc5208"/>
      <w:bookmarkStart w:id="4" w:name="_Toc14004"/>
      <w:bookmarkStart w:id="5" w:name="_Toc30620"/>
      <w:r>
        <w:rPr>
          <w:rFonts w:hint="eastAsia"/>
          <w:lang w:eastAsia="zh-CN"/>
        </w:rPr>
        <w:t>标配附件</w:t>
      </w:r>
      <w:bookmarkEnd w:id="3"/>
      <w:bookmarkEnd w:id="4"/>
      <w:bookmarkEnd w:id="5"/>
    </w:p>
    <w:tbl>
      <w:tblPr>
        <w:tblStyle w:val="9"/>
        <w:tblpPr w:leftFromText="180" w:rightFromText="180" w:vertAnchor="text" w:horzAnchor="page" w:tblpX="2052" w:tblpY="347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520"/>
        <w:gridCol w:w="1335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 夹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(KBH-10)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1162050" cy="2362200"/>
                  <wp:effectExtent l="0" t="0" r="635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 线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(KRA-26)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660400" cy="2444750"/>
                  <wp:effectExtent l="0" t="0" r="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锂离子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电池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(KNB-45L)</w:t>
            </w:r>
          </w:p>
          <w:p>
            <w:pPr>
              <w:jc w:val="center"/>
              <w:rPr>
                <w:rFonts w:hint="default" w:ascii="Arial" w:hAnsi="Arial" w:eastAsiaTheme="minorEastAsia" w:cstheme="minorBidi"/>
                <w:b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(2000mAh)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Arial" w:hAnsi="Arial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drawing>
                <wp:inline distT="0" distB="0" distL="114300" distR="114300">
                  <wp:extent cx="1282700" cy="2336800"/>
                  <wp:effectExtent l="0" t="0" r="0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充电器</w:t>
            </w:r>
          </w:p>
          <w:p>
            <w:pPr>
              <w:jc w:val="center"/>
              <w:rPr>
                <w:rFonts w:hint="default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(KSC-43)</w:t>
            </w:r>
          </w:p>
        </w:tc>
        <w:tc>
          <w:tcPr>
            <w:tcW w:w="6675" w:type="dxa"/>
            <w:gridSpan w:val="3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4100830" cy="2729230"/>
                  <wp:effectExtent l="0" t="0" r="1270" b="127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830" cy="272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rFonts w:hint="eastAsia"/>
          <w:b/>
          <w:sz w:val="40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280"/>
      </w:tabs>
      <w:spacing w:line="180" w:lineRule="exact"/>
      <w:ind w:right="360"/>
      <w:rPr>
        <w:rFonts w:hint="eastAsia" w:ascii="楷体_GB2312" w:eastAsia="楷体_GB2312"/>
      </w:rPr>
    </w:pPr>
    <w:r>
      <w:rPr>
        <w:rStyle w:val="11"/>
        <w:rFonts w:hint="eastAsia" w:ascii="楷体_GB2312" w:eastAsia="楷体_GB2312"/>
      </w:rPr>
      <w:t>版权所有</w:t>
    </w:r>
    <w:r>
      <w:rPr>
        <w:rStyle w:val="11"/>
        <w:rFonts w:hint="eastAsia" w:eastAsia="楷体_GB2312"/>
      </w:rPr>
      <w:t>©</w:t>
    </w:r>
    <w:r>
      <w:rPr>
        <w:rStyle w:val="11"/>
        <w:rFonts w:hint="eastAsia" w:ascii="楷体_GB2312" w:eastAsia="楷体_GB2312"/>
      </w:rPr>
      <w:t xml:space="preserve"> </w:t>
    </w:r>
    <w:r>
      <w:rPr>
        <w:rFonts w:hint="eastAsia" w:ascii="楷体_GB2312" w:eastAsia="楷体_GB2312"/>
      </w:rPr>
      <w:fldChar w:fldCharType="begin"/>
    </w:r>
    <w:r>
      <w:rPr>
        <w:rStyle w:val="11"/>
        <w:rFonts w:hint="eastAsia" w:ascii="楷体_GB2312" w:eastAsia="楷体_GB2312"/>
      </w:rPr>
      <w:instrText xml:space="preserve"> DATE \@ "yyyy" </w:instrText>
    </w:r>
    <w:r>
      <w:rPr>
        <w:rFonts w:hint="eastAsia" w:ascii="楷体_GB2312" w:eastAsia="楷体_GB2312"/>
      </w:rPr>
      <w:fldChar w:fldCharType="separate"/>
    </w:r>
    <w:r>
      <w:rPr>
        <w:rStyle w:val="11"/>
        <w:rFonts w:hint="eastAsia" w:ascii="楷体_GB2312" w:eastAsia="楷体_GB2312"/>
      </w:rPr>
      <w:t>2023</w:t>
    </w:r>
    <w:r>
      <w:rPr>
        <w:rFonts w:hint="eastAsia" w:ascii="楷体_GB2312" w:eastAsia="楷体_GB2312"/>
      </w:rPr>
      <w:fldChar w:fldCharType="end"/>
    </w:r>
    <w:r>
      <w:rPr>
        <w:rStyle w:val="11"/>
        <w:rFonts w:hint="eastAsia" w:ascii="楷体_GB2312" w:eastAsia="楷体_GB2312"/>
      </w:rPr>
      <w:t xml:space="preserve"> www.kenwood.com</w:t>
    </w:r>
    <w:r>
      <w:rPr>
        <w:rFonts w:hint="eastAsia" w:ascii="楷体_GB2312" w:eastAsia="楷体_GB2312"/>
      </w:rPr>
      <w:t xml:space="preserve">                                                                             </w:t>
    </w:r>
  </w:p>
  <w:p>
    <w:pPr>
      <w:pStyle w:val="6"/>
      <w:spacing w:line="180" w:lineRule="exact"/>
    </w:pPr>
    <w:r>
      <w:rPr>
        <w:rStyle w:val="11"/>
        <w:rFonts w:hint="eastAsia" w:ascii="楷体_GB2312" w:eastAsia="楷体_GB2312"/>
      </w:rPr>
      <w:t>内部保密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right"/>
      <w:rPr>
        <w:u w:val="none"/>
      </w:rPr>
    </w:pPr>
    <w:r>
      <w:rPr>
        <w:u w:val="none"/>
      </w:rPr>
      <w:drawing>
        <wp:inline distT="0" distB="0" distL="114300" distR="114300">
          <wp:extent cx="1390015" cy="315595"/>
          <wp:effectExtent l="0" t="0" r="6985" b="1905"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01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446E6"/>
    <w:multiLevelType w:val="multilevel"/>
    <w:tmpl w:val="283446E6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1">
    <w:nsid w:val="2E88D84D"/>
    <w:multiLevelType w:val="multilevel"/>
    <w:tmpl w:val="2E88D84D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168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10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252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94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336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378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420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4620" w:leftChars="0" w:hanging="420" w:firstLineChars="0"/>
      </w:pPr>
      <w:rPr>
        <w:rFonts w:hint="default" w:ascii="Wingdings" w:hAnsi="Wingdings"/>
      </w:rPr>
    </w:lvl>
  </w:abstractNum>
  <w:abstractNum w:abstractNumId="2">
    <w:nsid w:val="64421996"/>
    <w:multiLevelType w:val="multilevel"/>
    <w:tmpl w:val="64421996"/>
    <w:lvl w:ilvl="0" w:tentative="0">
      <w:start w:val="1"/>
      <w:numFmt w:val="decimal"/>
      <w:pStyle w:val="2"/>
      <w:lvlText w:val="%1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  <w:rPr>
        <w:rFonts w:hint="default" w:ascii="Arial" w:hAnsi="Arial" w:cs="Arial"/>
      </w:rPr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JiZmZlN2QxMTJmYTM2ZTkwMWU2NTFiOTUzY2YifQ=="/>
  </w:docVars>
  <w:rsids>
    <w:rsidRoot w:val="00000000"/>
    <w:rsid w:val="017442FA"/>
    <w:rsid w:val="017512B4"/>
    <w:rsid w:val="05243941"/>
    <w:rsid w:val="05FE23E4"/>
    <w:rsid w:val="07C75183"/>
    <w:rsid w:val="08F71A98"/>
    <w:rsid w:val="09C429D4"/>
    <w:rsid w:val="0D315F76"/>
    <w:rsid w:val="10F66AD9"/>
    <w:rsid w:val="111425F0"/>
    <w:rsid w:val="155C2C83"/>
    <w:rsid w:val="16B32D77"/>
    <w:rsid w:val="16E11692"/>
    <w:rsid w:val="16E66D61"/>
    <w:rsid w:val="1A7B3BAB"/>
    <w:rsid w:val="1DD2442A"/>
    <w:rsid w:val="209F5752"/>
    <w:rsid w:val="21294361"/>
    <w:rsid w:val="21AD6D40"/>
    <w:rsid w:val="21CE6CB6"/>
    <w:rsid w:val="22BD7457"/>
    <w:rsid w:val="243E6375"/>
    <w:rsid w:val="25900E53"/>
    <w:rsid w:val="25F6552C"/>
    <w:rsid w:val="275B0FEC"/>
    <w:rsid w:val="27CC3C98"/>
    <w:rsid w:val="2C574478"/>
    <w:rsid w:val="2E0A551A"/>
    <w:rsid w:val="311A5FF2"/>
    <w:rsid w:val="31777D04"/>
    <w:rsid w:val="320F6A40"/>
    <w:rsid w:val="33313908"/>
    <w:rsid w:val="33685DAB"/>
    <w:rsid w:val="336D632F"/>
    <w:rsid w:val="34080E52"/>
    <w:rsid w:val="391D07F7"/>
    <w:rsid w:val="3D601A89"/>
    <w:rsid w:val="3DA37D4F"/>
    <w:rsid w:val="3F514D57"/>
    <w:rsid w:val="44E977E0"/>
    <w:rsid w:val="488717E9"/>
    <w:rsid w:val="48C52312"/>
    <w:rsid w:val="4A4756D4"/>
    <w:rsid w:val="4B180E1F"/>
    <w:rsid w:val="4C082C41"/>
    <w:rsid w:val="4E356644"/>
    <w:rsid w:val="4E8D61CF"/>
    <w:rsid w:val="4EAF439C"/>
    <w:rsid w:val="4FED4628"/>
    <w:rsid w:val="50180514"/>
    <w:rsid w:val="50267B3A"/>
    <w:rsid w:val="50AD6BE4"/>
    <w:rsid w:val="519D379E"/>
    <w:rsid w:val="53051C89"/>
    <w:rsid w:val="56876E58"/>
    <w:rsid w:val="56D66003"/>
    <w:rsid w:val="589A10C5"/>
    <w:rsid w:val="58E40592"/>
    <w:rsid w:val="596A4F3B"/>
    <w:rsid w:val="5B0D4D70"/>
    <w:rsid w:val="5B7756EE"/>
    <w:rsid w:val="5D9933F8"/>
    <w:rsid w:val="5E624433"/>
    <w:rsid w:val="61AD3208"/>
    <w:rsid w:val="627B5AC3"/>
    <w:rsid w:val="63612F0B"/>
    <w:rsid w:val="63D253F0"/>
    <w:rsid w:val="65226971"/>
    <w:rsid w:val="65B5753E"/>
    <w:rsid w:val="65E322FD"/>
    <w:rsid w:val="677040CE"/>
    <w:rsid w:val="69DA174D"/>
    <w:rsid w:val="69E71C90"/>
    <w:rsid w:val="69E91EAC"/>
    <w:rsid w:val="6ADD44FB"/>
    <w:rsid w:val="6BCD347D"/>
    <w:rsid w:val="6DFE57FA"/>
    <w:rsid w:val="6F9208F0"/>
    <w:rsid w:val="70217FA0"/>
    <w:rsid w:val="710949C4"/>
    <w:rsid w:val="726B39D4"/>
    <w:rsid w:val="72A526E9"/>
    <w:rsid w:val="74497D77"/>
    <w:rsid w:val="752A2293"/>
    <w:rsid w:val="77277E53"/>
    <w:rsid w:val="779A6594"/>
    <w:rsid w:val="77D777E8"/>
    <w:rsid w:val="79224A93"/>
    <w:rsid w:val="7C4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before="480" w:line="288" w:lineRule="auto"/>
      <w:ind w:left="1247" w:hanging="1247"/>
      <w:jc w:val="both"/>
      <w:outlineLvl w:val="0"/>
    </w:pPr>
    <w:rPr>
      <w:rFonts w:ascii="Arial" w:hAnsi="Arial" w:eastAsia="宋体" w:cstheme="minorBidi"/>
      <w:b/>
      <w:bCs/>
      <w:kern w:val="44"/>
      <w:sz w:val="36"/>
      <w:szCs w:val="4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unhideWhenUsed/>
    <w:qFormat/>
    <w:uiPriority w:val="39"/>
    <w:pPr>
      <w:tabs>
        <w:tab w:val="left" w:pos="420"/>
        <w:tab w:val="left" w:pos="567"/>
        <w:tab w:val="left" w:pos="1134"/>
        <w:tab w:val="left" w:pos="1777"/>
        <w:tab w:val="right" w:leader="dot" w:pos="8789"/>
        <w:tab w:val="right" w:leader="dot" w:pos="9062"/>
      </w:tabs>
      <w:ind w:left="1701" w:right="34" w:hanging="567"/>
    </w:pPr>
  </w:style>
  <w:style w:type="paragraph" w:styleId="4">
    <w:name w:val="toc 2"/>
    <w:basedOn w:val="5"/>
    <w:next w:val="1"/>
    <w:unhideWhenUsed/>
    <w:qFormat/>
    <w:uiPriority w:val="39"/>
    <w:pPr>
      <w:tabs>
        <w:tab w:val="left" w:pos="420"/>
        <w:tab w:val="left" w:pos="567"/>
        <w:tab w:val="left" w:pos="1134"/>
        <w:tab w:val="right" w:leader="dot" w:pos="8789"/>
        <w:tab w:val="right" w:leader="dot" w:pos="9062"/>
      </w:tabs>
      <w:spacing w:before="120"/>
      <w:ind w:left="1276" w:right="907" w:hanging="709"/>
    </w:pPr>
    <w:rPr>
      <w:b w:val="0"/>
    </w:rPr>
  </w:style>
  <w:style w:type="paragraph" w:styleId="5">
    <w:name w:val="toc 1"/>
    <w:basedOn w:val="1"/>
    <w:next w:val="4"/>
    <w:unhideWhenUsed/>
    <w:qFormat/>
    <w:uiPriority w:val="39"/>
    <w:pPr>
      <w:keepNext/>
      <w:widowControl/>
      <w:tabs>
        <w:tab w:val="left" w:pos="420"/>
        <w:tab w:val="left" w:pos="567"/>
        <w:tab w:val="right" w:leader="dot" w:pos="8789"/>
        <w:tab w:val="right" w:leader="dot" w:pos="9062"/>
      </w:tabs>
      <w:spacing w:before="360"/>
      <w:ind w:left="567" w:right="34" w:hanging="425"/>
      <w:jc w:val="left"/>
    </w:pPr>
    <w:rPr>
      <w:b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TOC Heading"/>
    <w:basedOn w:val="1"/>
    <w:unhideWhenUsed/>
    <w:qFormat/>
    <w:uiPriority w:val="39"/>
    <w:pPr>
      <w:keepNext/>
      <w:widowControl/>
      <w:spacing w:before="840" w:after="240"/>
      <w:jc w:val="left"/>
    </w:pPr>
    <w:rPr>
      <w:rFonts w:cstheme="majorBidi"/>
      <w:b/>
      <w:spacing w:val="10"/>
      <w:kern w:val="20"/>
      <w:sz w:val="40"/>
      <w:szCs w:val="2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1566</Words>
  <Characters>2201</Characters>
  <Lines>0</Lines>
  <Paragraphs>0</Paragraphs>
  <TotalTime>0</TotalTime>
  <ScaleCrop>false</ScaleCrop>
  <LinksUpToDate>false</LinksUpToDate>
  <CharactersWithSpaces>2335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2022-12-09T08:53:00Z</dcterms:created>
  <dc:creator>上海汉界通信工程有限公司</dc:creator>
  <cp:lastModifiedBy>无线对讲系统-徐工13918677771</cp:lastModifiedBy>
  <dcterms:modified xsi:type="dcterms:W3CDTF">2023-04-26T01:01:28Z</dcterms:modified>
  <dc:title>NX-1200D-C3数字对讲机
产品规格书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A173627EB58C4F35ABE33FBE9DB0A2D3</vt:lpwstr>
  </property>
</Properties>
</file>